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01BEC" w14:textId="3BC3650F" w:rsidR="002D61B7" w:rsidRPr="00C11D51" w:rsidRDefault="00AB603B" w:rsidP="002D61B7">
      <w:pPr>
        <w:jc w:val="both"/>
        <w:rPr>
          <w:rFonts w:eastAsia="Times New Roman"/>
          <w:color w:val="000000"/>
          <w:lang w:val="es-MX"/>
        </w:rPr>
      </w:pPr>
      <w:r w:rsidRPr="00C11D51">
        <w:rPr>
          <w:rFonts w:eastAsia="Times New Roman"/>
          <w:color w:val="000000"/>
          <w:lang w:val="es-MX"/>
        </w:rPr>
        <w:softHyphen/>
      </w:r>
      <w:r w:rsidRPr="00C11D51">
        <w:rPr>
          <w:rFonts w:eastAsia="Times New Roman"/>
          <w:color w:val="000000"/>
          <w:lang w:val="es-MX"/>
        </w:rPr>
        <w:softHyphen/>
      </w:r>
      <w:r w:rsidRPr="00C11D51">
        <w:rPr>
          <w:rFonts w:eastAsia="Times New Roman"/>
          <w:color w:val="000000"/>
          <w:lang w:val="es-MX"/>
        </w:rPr>
        <w:softHyphen/>
      </w:r>
    </w:p>
    <w:p w14:paraId="007CC90C" w14:textId="77777777" w:rsidR="002D61B7" w:rsidRPr="00C11D51" w:rsidRDefault="002D61B7" w:rsidP="002D61B7">
      <w:pPr>
        <w:jc w:val="center"/>
        <w:rPr>
          <w:rFonts w:eastAsia="Times New Roman"/>
          <w:color w:val="000000"/>
          <w:lang w:val="es-MX"/>
        </w:rPr>
      </w:pPr>
    </w:p>
    <w:p w14:paraId="1130C5D4" w14:textId="77777777" w:rsidR="002D61B7" w:rsidRPr="00C11D51" w:rsidRDefault="002D61B7" w:rsidP="002D61B7">
      <w:pPr>
        <w:jc w:val="center"/>
        <w:rPr>
          <w:rFonts w:eastAsia="Times New Roman"/>
          <w:color w:val="000000"/>
          <w:lang w:val="es-MX"/>
        </w:rPr>
      </w:pPr>
    </w:p>
    <w:p w14:paraId="0A9FD740" w14:textId="3FC5893E" w:rsidR="002D61B7" w:rsidRPr="00C11D51" w:rsidRDefault="002D61B7" w:rsidP="00C36CCC">
      <w:pPr>
        <w:pStyle w:val="Ttulo1"/>
        <w:rPr>
          <w:lang w:val="es-MX"/>
        </w:rPr>
      </w:pPr>
      <w:r w:rsidRPr="00C11D51">
        <w:rPr>
          <w:lang w:val="es-MX"/>
        </w:rPr>
        <w:t>Estatus socioeconómico y disparidades de salud en los Estados Unidos</w:t>
      </w:r>
    </w:p>
    <w:p w14:paraId="182EF44E" w14:textId="77777777" w:rsidR="00561E4B" w:rsidRPr="00C11D51" w:rsidRDefault="00561E4B" w:rsidP="002D61B7">
      <w:pPr>
        <w:jc w:val="center"/>
        <w:rPr>
          <w:rFonts w:eastAsia="Times New Roman"/>
          <w:b/>
          <w:bCs/>
          <w:color w:val="000000"/>
          <w:lang w:val="es-MX"/>
        </w:rPr>
      </w:pPr>
    </w:p>
    <w:p w14:paraId="62844071" w14:textId="2CDC49DD" w:rsidR="002D61B7" w:rsidRPr="00C11D51" w:rsidRDefault="002D61B7" w:rsidP="002D61B7">
      <w:pPr>
        <w:jc w:val="center"/>
        <w:rPr>
          <w:rFonts w:eastAsia="Times New Roman"/>
          <w:color w:val="000000"/>
          <w:lang w:val="es-MX"/>
        </w:rPr>
      </w:pPr>
      <w:r w:rsidRPr="00C11D51">
        <w:rPr>
          <w:rFonts w:eastAsia="Times New Roman"/>
          <w:color w:val="000000"/>
          <w:lang w:val="es-MX"/>
        </w:rPr>
        <w:t>Katherine E. Stearley</w:t>
      </w:r>
    </w:p>
    <w:p w14:paraId="1A0A7D47" w14:textId="1B1C83FA" w:rsidR="002D61B7" w:rsidRPr="00C11D51" w:rsidRDefault="002D61B7" w:rsidP="002D61B7">
      <w:pPr>
        <w:jc w:val="center"/>
        <w:rPr>
          <w:rFonts w:eastAsia="Times New Roman"/>
          <w:color w:val="000000"/>
          <w:lang w:val="es-MX"/>
        </w:rPr>
      </w:pPr>
      <w:r w:rsidRPr="00C11D51">
        <w:rPr>
          <w:rFonts w:eastAsia="Times New Roman"/>
          <w:color w:val="000000"/>
          <w:lang w:val="es-MX"/>
        </w:rPr>
        <w:t>Departamento de Psicología, Universidad de Rhode Island</w:t>
      </w:r>
    </w:p>
    <w:p w14:paraId="2FFFCE2F" w14:textId="5C0CBAFF" w:rsidR="002D61B7" w:rsidRPr="00C11D51" w:rsidRDefault="002D61B7" w:rsidP="002D61B7">
      <w:pPr>
        <w:jc w:val="center"/>
        <w:rPr>
          <w:rFonts w:eastAsia="Times New Roman"/>
          <w:color w:val="000000"/>
          <w:lang w:val="es-MX"/>
        </w:rPr>
      </w:pPr>
      <w:r w:rsidRPr="00C11D51">
        <w:rPr>
          <w:rFonts w:eastAsia="Times New Roman"/>
          <w:color w:val="000000"/>
          <w:lang w:val="es-MX"/>
        </w:rPr>
        <w:t>PSY 399: Psicología Multicultural</w:t>
      </w:r>
    </w:p>
    <w:p w14:paraId="6F6EB49B" w14:textId="26F61823" w:rsidR="002D61B7" w:rsidRPr="00C11D51" w:rsidRDefault="002D61B7" w:rsidP="002D61B7">
      <w:pPr>
        <w:jc w:val="center"/>
        <w:rPr>
          <w:rFonts w:eastAsia="Times New Roman"/>
          <w:color w:val="000000"/>
          <w:lang w:val="es-MX"/>
        </w:rPr>
      </w:pPr>
      <w:r w:rsidRPr="00C11D51">
        <w:rPr>
          <w:rFonts w:eastAsia="Times New Roman"/>
          <w:color w:val="000000"/>
          <w:lang w:val="es-MX"/>
        </w:rPr>
        <w:t>Dr. Paul Anderer</w:t>
      </w:r>
    </w:p>
    <w:p w14:paraId="4A08B8CD" w14:textId="2979C69F" w:rsidR="002D61B7" w:rsidRPr="00C11D51" w:rsidRDefault="002D61B7" w:rsidP="002D61B7">
      <w:pPr>
        <w:jc w:val="center"/>
        <w:rPr>
          <w:rFonts w:eastAsia="Times New Roman"/>
          <w:color w:val="000000"/>
          <w:lang w:val="es-MX"/>
        </w:rPr>
      </w:pPr>
      <w:r w:rsidRPr="00C11D51">
        <w:rPr>
          <w:rFonts w:eastAsia="Times New Roman"/>
          <w:color w:val="000000"/>
          <w:lang w:val="es-MX"/>
        </w:rPr>
        <w:t>30 de marzo de 2021</w:t>
      </w:r>
    </w:p>
    <w:p w14:paraId="7B1AF9B2" w14:textId="77777777" w:rsidR="002D61B7" w:rsidRPr="00C11D51" w:rsidRDefault="002D61B7" w:rsidP="002D61B7">
      <w:pPr>
        <w:jc w:val="center"/>
        <w:rPr>
          <w:rFonts w:eastAsia="Times New Roman"/>
          <w:color w:val="000000"/>
          <w:lang w:val="es-MX"/>
        </w:rPr>
      </w:pPr>
    </w:p>
    <w:p w14:paraId="0383E1BB" w14:textId="2A710375" w:rsidR="002D61B7" w:rsidRPr="00C11D51" w:rsidRDefault="002D61B7">
      <w:pPr>
        <w:rPr>
          <w:rFonts w:eastAsia="Times New Roman"/>
          <w:color w:val="000000"/>
          <w:lang w:val="es-MX"/>
        </w:rPr>
      </w:pPr>
    </w:p>
    <w:p w14:paraId="76209C75" w14:textId="77777777" w:rsidR="002E57C7" w:rsidRPr="00C11D51" w:rsidRDefault="002E57C7">
      <w:pPr>
        <w:rPr>
          <w:rFonts w:eastAsia="Times New Roman"/>
          <w:b/>
          <w:bCs/>
          <w:color w:val="000000"/>
          <w:lang w:val="es-MX"/>
        </w:rPr>
      </w:pPr>
      <w:r w:rsidRPr="00C11D51">
        <w:rPr>
          <w:lang w:val="es-MX"/>
        </w:rPr>
        <w:br w:type="page"/>
      </w:r>
    </w:p>
    <w:p w14:paraId="56D6F35C" w14:textId="4C9E75F9" w:rsidR="00C36CCC" w:rsidRPr="00C11D51" w:rsidRDefault="00C36CCC" w:rsidP="00C36CCC">
      <w:pPr>
        <w:pStyle w:val="Ttulo1"/>
        <w:rPr>
          <w:lang w:val="es-MX"/>
        </w:rPr>
      </w:pPr>
      <w:r w:rsidRPr="00C11D51">
        <w:rPr>
          <w:lang w:val="es-MX"/>
        </w:rPr>
        <w:lastRenderedPageBreak/>
        <w:t>Estatus socioeconómico y disparidades de salud en los Estados Unidos</w:t>
      </w:r>
    </w:p>
    <w:p w14:paraId="58A65CCD" w14:textId="143A3A24" w:rsidR="002D61B7" w:rsidRPr="00C11D51" w:rsidRDefault="002D61B7" w:rsidP="002635F3">
      <w:pPr>
        <w:pStyle w:val="Textoindependiente"/>
        <w:rPr>
          <w:lang w:val="es-MX"/>
        </w:rPr>
      </w:pPr>
      <w:r w:rsidRPr="00C11D51">
        <w:rPr>
          <w:lang w:val="es-MX"/>
        </w:rPr>
        <w:t xml:space="preserve"> El Departamento de Salud y Servicios Humanos de EE. UU. define las disparidades de salud como las diferencias en los resultados de salud asociadas con desventajas sociales, económicas y ambientales (Mio et al., 2020, p. 266). Las disparidades en materia de salud suelen afectar a los grupos marginados, o a las personas desfavorecidas debido a su situación socioeconómica, y lo hacen en forma de inseguridad alimentaria y desiertos alimentarios (Mio et al., 2020, pág. 263). </w:t>
      </w:r>
    </w:p>
    <w:p w14:paraId="01430CA1" w14:textId="25106848" w:rsidR="002D61B7" w:rsidRPr="00C11D51" w:rsidRDefault="002D61B7" w:rsidP="002635F3">
      <w:pPr>
        <w:pStyle w:val="Textoindependiente"/>
        <w:rPr>
          <w:lang w:val="es-MX"/>
        </w:rPr>
      </w:pPr>
      <w:r w:rsidRPr="00C11D51">
        <w:rPr>
          <w:lang w:val="es-MX"/>
        </w:rPr>
        <w:t xml:space="preserve"> El Departamento de Agricultura de los Estados Unidos define la inseguridad alimentaria como hogares que no pueden acceder a alimentos adecuados para al menos un miembro del hogar debido a la insuficiencia de recursos (Coleman-Jensen et al., 2020). Según un informe de 2020, más de 35 millones de estadounidenses viven en hogares con inseguridad alimentaria, y el 35% de las personas por debajo del umbral federal de la pobreza padecen inseguridad alimentaria en comparación con el 5% de las que están por encima del umbral de la pobreza (Coleman-Jensen et al., 2020). Este informe demuestra que el SES influye en la probabilidad de que una persona sea clasificada como insegura alimentaria. </w:t>
      </w:r>
    </w:p>
    <w:p w14:paraId="04481C09" w14:textId="60BA7064" w:rsidR="002D61B7" w:rsidRPr="00C11D51" w:rsidRDefault="00DA6A5F" w:rsidP="002635F3">
      <w:pPr>
        <w:pStyle w:val="Textoindependiente"/>
        <w:rPr>
          <w:rFonts w:eastAsia="Times New Roman"/>
          <w:lang w:val="es-MX"/>
        </w:rPr>
      </w:pPr>
      <w:r w:rsidRPr="00C11D51">
        <w:rPr>
          <w:rFonts w:eastAsia="Times New Roman"/>
          <w:color w:val="000000"/>
          <w:lang w:val="es-MX"/>
        </w:rPr>
        <w:t xml:space="preserve">La inseguridad alimentaria puede provocar disparidades en la salud, especialmente en los desiertos </w:t>
      </w:r>
      <w:r w:rsidR="002D61B7" w:rsidRPr="00C11D51">
        <w:rPr>
          <w:rFonts w:eastAsia="Times New Roman"/>
          <w:i/>
          <w:iCs/>
          <w:color w:val="000000"/>
          <w:lang w:val="es-MX"/>
        </w:rPr>
        <w:t>alimentarios</w:t>
      </w:r>
      <w:r w:rsidR="002D61B7" w:rsidRPr="00C11D51">
        <w:rPr>
          <w:rFonts w:eastAsia="Times New Roman"/>
          <w:color w:val="000000"/>
          <w:lang w:val="es-MX"/>
        </w:rPr>
        <w:t xml:space="preserve">, que son zonas de bajos ingresos donde los residentes tienen un acceso limitado a alimentos saludables (Liese et al., 2017). Un estudio de Testa et al. (2020) analizó cómo los desiertos alimentarios impactan en la salud cardiovascular de los adultos jóvenes y encontró una asociación positiva estadísticamente significativa entre la residencia en un desierto alimentario y el riesgo para la salud cardiovascular. Una mala salud cardiovascular puede provocar multitud de problemas de salud, como infarto de miocardio, insuficiencia cardíaca y accidente cerebrovascular (Testa et al., 2020). Se encontró que la asociación entre los desiertos alimentarios y la mala salud cardiovascular estaba parcialmente mediada por el área y el NSE </w:t>
      </w:r>
      <w:r w:rsidR="002D61B7" w:rsidRPr="00C11D51">
        <w:rPr>
          <w:rFonts w:eastAsia="Times New Roman"/>
          <w:color w:val="000000"/>
          <w:lang w:val="es-MX"/>
        </w:rPr>
        <w:lastRenderedPageBreak/>
        <w:t>personal, factores que se habían anulado en estudios anteriores (Testa et al., 2020). Estos hallazgos respaldan la afirmación de que un NSE más bajo está relacionado con un mayor riesgo de problemas de salud cardiovascular. </w:t>
      </w:r>
    </w:p>
    <w:p w14:paraId="5D684ACD" w14:textId="1B2EDBE3" w:rsidR="002D61B7" w:rsidRPr="00C11D51" w:rsidRDefault="002D61B7" w:rsidP="002635F3">
      <w:pPr>
        <w:pStyle w:val="Textoindependiente"/>
        <w:rPr>
          <w:rFonts w:eastAsia="Times New Roman"/>
          <w:lang w:val="es-MX"/>
        </w:rPr>
      </w:pPr>
      <w:r w:rsidRPr="00C11D51">
        <w:rPr>
          <w:rFonts w:eastAsia="Times New Roman"/>
          <w:color w:val="000000"/>
          <w:lang w:val="es-MX"/>
        </w:rPr>
        <w:t>La salud cardiovascular no es la única área de salud afectada por el SES; El índice de masa corporal (IMC) y el riesgo de obesidad también se ven afectados. Un estudio realizado por Dubowitz et al. (2012) sobre el entorno alimentario, el SES del vecindario, el IMC y la presión arterial en mujeres encontró que a medida que el SES del vecindario aumentaba del percentil 10 al 90, el IMC disminuía de 29.86 a 28.60. Esto puede no parecer una cantidad significativa de cambio, pero como señalaron los autores, en una mujer de 5,5 pies (167,64 cm) que pesa 177 libras, esta es una diferencia de 7 a 8 libras (Dubowitz et al., 2012). Ese cambio en el peso puede ser la diferencia entre ser clasificado como saludable o con sobrepeso. El estudio también encontró una asociación positiva entre la disponibilidad de comida rápida y el IMC. Este estudio ilustra no solo que el NSE afecta el IMC y el estado de salud posterior de las mujeres, sino que los tipos de alimentos disponibles afectan la elección de alimentos y el IMC.</w:t>
      </w:r>
    </w:p>
    <w:p w14:paraId="050A9564" w14:textId="2361244D" w:rsidR="002D61B7" w:rsidRPr="00C11D51" w:rsidRDefault="002D61B7" w:rsidP="002635F3">
      <w:pPr>
        <w:pStyle w:val="Textoindependiente"/>
        <w:rPr>
          <w:rFonts w:eastAsia="Times New Roman"/>
          <w:lang w:val="es-MX"/>
        </w:rPr>
      </w:pPr>
      <w:r w:rsidRPr="00C11D51">
        <w:rPr>
          <w:rFonts w:eastAsia="Times New Roman"/>
          <w:color w:val="000000"/>
          <w:lang w:val="es-MX"/>
        </w:rPr>
        <w:t xml:space="preserve">Este tema fue investigado más a fondo por Cantor et al. (2020), quienes examinaron el Programa de Asistencia Nutricional Suplementaria (SNAP), el programa federal de asistencia alimentaria y nutricional doméstico más grande de los Estados Unidos. El SNAP, que muchos asocian con los cupones de alimentos, no se acepta en todas partes, y a menudo se ha descubierto que los minoristas más pequeños que aceptan los beneficios del SNAP almacenan menos artículos saludables (Cantor et al., 2020). Cantor et al. se encontraban en la posición única de poder comparar cómo cambiaba la seguridad alimentaria y la calidad de la ingesta de alimentos entre dos grupos de residentes que vivían en desiertos alimentarios. Una vez que se introdujo una tienda de comestibles en el vecindario de uno de los grupos, la seguridad alimentaria de esos residentes mejoró significativamente (Cantor et al., 2020). También hubo una mejora en su </w:t>
      </w:r>
      <w:r w:rsidRPr="00C11D51">
        <w:rPr>
          <w:rFonts w:eastAsia="Times New Roman"/>
          <w:color w:val="000000"/>
          <w:lang w:val="es-MX"/>
        </w:rPr>
        <w:lastRenderedPageBreak/>
        <w:t>ingesta nutricional, específicamente, una disminución del 4.25% en las calorías de grasas sólidas, alcohol y azúcares añadidos en sus dietas.</w:t>
      </w:r>
    </w:p>
    <w:p w14:paraId="0211DBAC" w14:textId="504C8A44" w:rsidR="002D61B7" w:rsidRPr="00C11D51" w:rsidRDefault="002D61B7" w:rsidP="002635F3">
      <w:pPr>
        <w:pStyle w:val="Textoindependiente"/>
        <w:rPr>
          <w:rFonts w:eastAsia="Times New Roman"/>
          <w:lang w:val="es-MX"/>
        </w:rPr>
      </w:pPr>
      <w:r w:rsidRPr="00C11D51">
        <w:rPr>
          <w:rFonts w:eastAsia="Times New Roman"/>
          <w:color w:val="000000"/>
          <w:lang w:val="es-MX"/>
        </w:rPr>
        <w:t xml:space="preserve">Aunque el estudio de Cantor et al. (2020) y otros mostraron una asociación entre el acceso a las tiendas de comestibles y la mejora del IMC y la salud cardiovascular, la mera presencia de tiendas de comestibles no siempre es suficiente para mejorar la salud, especialmente en las comunidades de bajo nivel socioeconómico (Liese et al., 2017). En un estudio sobre la adquisición de alimentos en relación con el IMC entre los residentes de bajos ingresos, Liese et al. (2017) descubrieron que cuanto más consideraba una persona que la falta de acceso a alimentos saludables era un problema, más alto era su IMC, una asociación que era independiente de los comportamientos de compra de alimentos y las características del entorno alimentario. </w:t>
      </w:r>
      <w:r w:rsidRPr="00C11D51">
        <w:rPr>
          <w:rFonts w:eastAsia="Times New Roman"/>
          <w:i/>
          <w:iCs/>
          <w:color w:val="000000"/>
          <w:lang w:val="es-MX"/>
        </w:rPr>
        <w:t>El estrés alostático</w:t>
      </w:r>
      <w:r w:rsidRPr="00C11D51">
        <w:rPr>
          <w:rFonts w:eastAsia="Times New Roman"/>
          <w:color w:val="000000"/>
          <w:lang w:val="es-MX"/>
        </w:rPr>
        <w:t>, o el impacto del estrés crónico en el cuerpo, así como los problemas de actitud, pueden contribuir a un IMC más alto y a una peor salud cardiovascular (Mio et al., 2020, p. 278). Hay dos posibles razones para esto: el modelo de creencias sobre la salud y las prácticas contemplativas. </w:t>
      </w:r>
    </w:p>
    <w:p w14:paraId="32C23E50" w14:textId="7AD71FD1" w:rsidR="002E124A" w:rsidRPr="00C11D51" w:rsidRDefault="002D61B7" w:rsidP="002635F3">
      <w:pPr>
        <w:pStyle w:val="Textoindependiente"/>
        <w:rPr>
          <w:rFonts w:eastAsia="Times New Roman"/>
          <w:color w:val="000000"/>
          <w:lang w:val="es-MX"/>
        </w:rPr>
      </w:pPr>
      <w:r w:rsidRPr="00C11D51">
        <w:rPr>
          <w:rFonts w:eastAsia="Times New Roman"/>
          <w:color w:val="000000"/>
          <w:lang w:val="es-MX"/>
        </w:rPr>
        <w:t xml:space="preserve">El modelo de creencias sobre la salud se centra en la afirmación de que las percepciones de las personas sobre las amenazas para la salud a las que se enfrentan afectan a su comportamiento sanitario y a la eficacia de las prácticas sanitarias para reducir los problemas de salud (Mio et al., 2020). Una mayor investigación sobre este modelo puede ayudar con el desarrollo de estrategias para reducir el estrés y los pensamientos negativos sobre la adquisición de alimentos. </w:t>
      </w:r>
    </w:p>
    <w:p w14:paraId="0D9E6698" w14:textId="028CE38E" w:rsidR="00ED7A2A" w:rsidRPr="00C11D51" w:rsidRDefault="002D61B7" w:rsidP="002635F3">
      <w:pPr>
        <w:pStyle w:val="Textoindependiente"/>
        <w:rPr>
          <w:rFonts w:eastAsia="Times New Roman"/>
          <w:color w:val="000000"/>
          <w:lang w:val="es-MX"/>
        </w:rPr>
      </w:pPr>
      <w:r w:rsidRPr="00C11D51">
        <w:rPr>
          <w:rFonts w:eastAsia="Times New Roman"/>
          <w:color w:val="000000"/>
          <w:lang w:val="es-MX"/>
        </w:rPr>
        <w:t xml:space="preserve">Las prácticas contemplativas son otra posible solución. Todos los participantes en los estudios citados en este artículo eran adultos, que pueden haber tenido más dificultades para aprender nuevas formas de pensar sobre el mundo en comparación con los adolescentes y los niños. Una forma de cambiar los patrones de pensamiento es introducir el concepto de </w:t>
      </w:r>
      <w:r w:rsidRPr="00C11D51">
        <w:rPr>
          <w:rFonts w:eastAsia="Times New Roman"/>
          <w:color w:val="000000"/>
          <w:lang w:val="es-MX"/>
        </w:rPr>
        <w:lastRenderedPageBreak/>
        <w:t xml:space="preserve">aprendizaje transformador. </w:t>
      </w:r>
      <w:r w:rsidRPr="00C11D51">
        <w:rPr>
          <w:rFonts w:eastAsia="Times New Roman"/>
          <w:i/>
          <w:iCs/>
          <w:color w:val="000000"/>
          <w:lang w:val="es-MX"/>
        </w:rPr>
        <w:t xml:space="preserve">El aprendizaje transformador </w:t>
      </w:r>
      <w:r w:rsidR="00830118" w:rsidRPr="00C11D51">
        <w:rPr>
          <w:rFonts w:eastAsia="Times New Roman"/>
          <w:color w:val="000000"/>
          <w:lang w:val="es-MX"/>
        </w:rPr>
        <w:t xml:space="preserve">implica aprender nuevas formas de ver el mundo y desaprender ideas previamente sostenidas (Le Pertel et al., 2020). El aprendizaje transformador puede ocurrir de muchas maneras, pero la autoconciencia y el enfoque atencional de los individuos en lo que está sucediendo en el momento presente son los factores más importantes necesarios para que ocurra. Juntos, estos dos factores pueden crear el "estado óptimo de conciencia para aprender en acción y aprender de la experiencia" (Le Pertel et al., 2020, p. 811). </w:t>
      </w:r>
    </w:p>
    <w:p w14:paraId="02250DC2" w14:textId="18E08544" w:rsidR="002D61B7" w:rsidRPr="00C11D51" w:rsidRDefault="002D61B7" w:rsidP="002635F3">
      <w:pPr>
        <w:pStyle w:val="Textoindependiente"/>
        <w:rPr>
          <w:rFonts w:eastAsia="Times New Roman"/>
          <w:lang w:val="es-MX"/>
        </w:rPr>
      </w:pPr>
      <w:r w:rsidRPr="00C11D51">
        <w:rPr>
          <w:rFonts w:eastAsia="Times New Roman"/>
          <w:color w:val="000000"/>
          <w:lang w:val="es-MX"/>
        </w:rPr>
        <w:t>Volver a aprender los patrones de pensamiento puede ser difícil, pero es una posible solución al problema del IMC alto y el riesgo para la salud cardiovascular. Esto también va de la mano con la meditación. Se ha demostrado que la meditación reduce el riesgo cardiovascular y la presión arterial y previene un segundo ataque cardíaco o accidente cerebrovascular (Le Pertel et al., 2020). Como han demostrado los estudios, el riesgo cardiovascular es un problema importante. Debido a que la meditación se puede hacer de forma gratuita en cualquier lugar, es una forma asequible de reducir potencialmente el riesgo de problemas de salud cardiovascular para las personas que continúan sin un amplio acceso a los alimentos.</w:t>
      </w:r>
    </w:p>
    <w:p w14:paraId="6E0B6B8A" w14:textId="34E50062" w:rsidR="00B61B31" w:rsidRPr="00C11D51" w:rsidRDefault="002D61B7" w:rsidP="002635F3">
      <w:pPr>
        <w:pStyle w:val="Textoindependiente"/>
        <w:rPr>
          <w:rFonts w:eastAsia="Times New Roman"/>
          <w:color w:val="000000"/>
          <w:lang w:val="es-MX"/>
        </w:rPr>
      </w:pPr>
      <w:r w:rsidRPr="00C11D51">
        <w:rPr>
          <w:rFonts w:eastAsia="Times New Roman"/>
          <w:color w:val="000000"/>
          <w:lang w:val="es-MX"/>
        </w:rPr>
        <w:t>A pesar de que en los Estados Unidos existen disparidades obvias en la salud basadas en el SES, las soluciones simples, como los comportamientos centrados en el modelo de creencias sobre la salud y las prácticas contemplativas, pueden ayudar a reducir los riesgos para la salud, como el IMC alto y los problemas cardiovasculares, hasta que se puedan realizar cambios sociales más grandes.</w:t>
      </w:r>
      <w:r w:rsidR="00B61B31" w:rsidRPr="00C11D51">
        <w:rPr>
          <w:rFonts w:eastAsia="Times New Roman"/>
          <w:color w:val="000000"/>
          <w:lang w:val="es-MX"/>
        </w:rPr>
        <w:br w:type="page"/>
      </w:r>
    </w:p>
    <w:p w14:paraId="112EEFAD" w14:textId="5ACFB97A" w:rsidR="002D61B7" w:rsidRPr="00C11D51" w:rsidRDefault="002D61B7" w:rsidP="00C36CCC">
      <w:pPr>
        <w:pStyle w:val="Ttulo1"/>
        <w:rPr>
          <w:lang w:val="es-MX"/>
        </w:rPr>
      </w:pPr>
      <w:r w:rsidRPr="00C11D51">
        <w:rPr>
          <w:lang w:val="es-MX"/>
        </w:rPr>
        <w:lastRenderedPageBreak/>
        <w:t>Referencias</w:t>
      </w:r>
    </w:p>
    <w:p w14:paraId="50AD7D10" w14:textId="00E74DD0" w:rsidR="002D61B7" w:rsidRPr="00C11D51" w:rsidRDefault="002D61B7" w:rsidP="003D01C2">
      <w:pPr>
        <w:ind w:left="720" w:hanging="720"/>
        <w:rPr>
          <w:rFonts w:eastAsia="Times New Roman"/>
          <w:lang w:val="es-MX"/>
        </w:rPr>
      </w:pPr>
      <w:r w:rsidRPr="00C11D51">
        <w:rPr>
          <w:rFonts w:eastAsia="Times New Roman"/>
          <w:color w:val="000000"/>
          <w:lang w:val="es-MX"/>
        </w:rPr>
        <w:t xml:space="preserve">Cantor, J., Beckman, R., Collins, R. L., Ghosh-Dastidar, M., Richardson, A. S., &amp; Dubowitz, T. (2020). Los participantes de SNAP mejoraron la seguridad alimentaria y la dieta después de que se abriera un supermercado de servicio completo en un desierto alimentario urbano. </w:t>
      </w:r>
      <w:r w:rsidRPr="00C11D51">
        <w:rPr>
          <w:rFonts w:eastAsia="Times New Roman"/>
          <w:i/>
          <w:iCs/>
          <w:color w:val="000000"/>
          <w:lang w:val="es-MX"/>
        </w:rPr>
        <w:t>Asuntos de Salud</w:t>
      </w:r>
      <w:r w:rsidRPr="00C11D51">
        <w:rPr>
          <w:rFonts w:eastAsia="Times New Roman"/>
          <w:color w:val="000000"/>
          <w:lang w:val="es-MX"/>
        </w:rPr>
        <w:t>,</w:t>
      </w:r>
      <w:r w:rsidRPr="00C11D51">
        <w:rPr>
          <w:rFonts w:eastAsia="Times New Roman"/>
          <w:i/>
          <w:iCs/>
          <w:color w:val="000000"/>
          <w:lang w:val="es-MX"/>
        </w:rPr>
        <w:t xml:space="preserve"> 39</w:t>
      </w:r>
      <w:r w:rsidRPr="00C11D51">
        <w:rPr>
          <w:rFonts w:eastAsia="Times New Roman"/>
          <w:color w:val="000000"/>
          <w:lang w:val="es-MX"/>
        </w:rPr>
        <w:t xml:space="preserve">(8), 1386–1394. </w:t>
      </w:r>
      <w:hyperlink r:id="rId7" w:history="1">
        <w:r w:rsidR="009647A9" w:rsidRPr="00C11D51">
          <w:rPr>
            <w:rStyle w:val="Hipervnculo"/>
            <w:rFonts w:eastAsia="Times New Roman"/>
            <w:lang w:val="es-MX"/>
          </w:rPr>
          <w:t>https://doi.org/10.1377/hlthaff.2019.01309</w:t>
        </w:r>
      </w:hyperlink>
      <w:r w:rsidRPr="00C11D51">
        <w:rPr>
          <w:rFonts w:eastAsia="Times New Roman"/>
          <w:color w:val="000000"/>
          <w:lang w:val="es-MX"/>
        </w:rPr>
        <w:t> </w:t>
      </w:r>
    </w:p>
    <w:p w14:paraId="2AA3B803" w14:textId="7CF5116E" w:rsidR="002D61B7" w:rsidRPr="00C11D51" w:rsidRDefault="002D61B7" w:rsidP="003D01C2">
      <w:pPr>
        <w:ind w:left="720" w:hanging="720"/>
        <w:rPr>
          <w:rFonts w:eastAsia="Times New Roman"/>
          <w:lang w:val="es-MX"/>
        </w:rPr>
      </w:pPr>
      <w:r w:rsidRPr="00C11D51">
        <w:rPr>
          <w:rFonts w:eastAsia="Times New Roman"/>
          <w:color w:val="000000"/>
          <w:lang w:val="es-MX"/>
        </w:rPr>
        <w:t xml:space="preserve">Coleman-Jensen, A., Rabbitt, M. P., Gregory, C. A., &amp; Singh, A. (2020). </w:t>
      </w:r>
      <w:r w:rsidRPr="00C11D51">
        <w:rPr>
          <w:rFonts w:eastAsia="Times New Roman"/>
          <w:i/>
          <w:iCs/>
          <w:color w:val="000000"/>
          <w:lang w:val="es-MX"/>
        </w:rPr>
        <w:t xml:space="preserve">Seguridad alimentaria de los hogares en los Estados Unidos en 2019 </w:t>
      </w:r>
      <w:r w:rsidR="002E57C7" w:rsidRPr="00C11D51">
        <w:rPr>
          <w:rFonts w:eastAsia="Times New Roman"/>
          <w:color w:val="000000"/>
          <w:lang w:val="es-MX"/>
        </w:rPr>
        <w:t xml:space="preserve">(Informe de Investigación Económica No. 275). Departamento de Agricultura de los Estados Unidos. </w:t>
      </w:r>
      <w:hyperlink r:id="rId8" w:history="1">
        <w:r w:rsidRPr="00C11D51">
          <w:rPr>
            <w:rFonts w:eastAsia="Times New Roman"/>
            <w:color w:val="1155CC"/>
            <w:u w:val="single"/>
            <w:lang w:val="es-MX"/>
          </w:rPr>
          <w:t>https://www.ers.usda.gov/webdocs/publications/99282/err-275.pdf?v=744.4</w:t>
        </w:r>
      </w:hyperlink>
      <w:r w:rsidRPr="00C11D51">
        <w:rPr>
          <w:rFonts w:eastAsia="Times New Roman"/>
          <w:color w:val="000000"/>
          <w:lang w:val="es-MX"/>
        </w:rPr>
        <w:t> </w:t>
      </w:r>
    </w:p>
    <w:p w14:paraId="65D725D3" w14:textId="60AA94B5" w:rsidR="002D61B7" w:rsidRPr="00C11D51" w:rsidRDefault="002D61B7" w:rsidP="003D01C2">
      <w:pPr>
        <w:ind w:left="720" w:hanging="720"/>
        <w:rPr>
          <w:rFonts w:eastAsia="Times New Roman"/>
          <w:lang w:val="es-MX"/>
        </w:rPr>
      </w:pPr>
      <w:r w:rsidRPr="002635F3">
        <w:rPr>
          <w:rFonts w:eastAsia="Times New Roman"/>
          <w:color w:val="000000"/>
        </w:rPr>
        <w:t xml:space="preserve">Dubowitz, T., Ghosh-Dastidar, M., Eibner, C., Slaughter, M. E., Fernandes, M., Whitsel, E. A., Bird, C. E., Jewell, A., Margolis, K. L., Li, W., Michael, Y. L., Shih, R. A., Manson, J. E., &amp; Escarce, J. J. (2012). </w:t>
      </w:r>
      <w:r w:rsidRPr="00C11D51">
        <w:rPr>
          <w:rFonts w:eastAsia="Times New Roman"/>
          <w:color w:val="000000"/>
          <w:lang w:val="es-MX"/>
        </w:rPr>
        <w:t xml:space="preserve">La iniciativa de salud de la mujer: el entorno alimentario, el nivel socioeconómico del vecindario, el IMC y la presión arterial. </w:t>
      </w:r>
      <w:r w:rsidRPr="00C11D51">
        <w:rPr>
          <w:rFonts w:eastAsia="Times New Roman"/>
          <w:i/>
          <w:iCs/>
          <w:color w:val="000000"/>
          <w:lang w:val="es-MX"/>
        </w:rPr>
        <w:t>Obesidad</w:t>
      </w:r>
      <w:r w:rsidRPr="00C11D51">
        <w:rPr>
          <w:rFonts w:eastAsia="Times New Roman"/>
          <w:color w:val="000000"/>
          <w:lang w:val="es-MX"/>
        </w:rPr>
        <w:t>,</w:t>
      </w:r>
      <w:r w:rsidRPr="00C11D51">
        <w:rPr>
          <w:rFonts w:eastAsia="Times New Roman"/>
          <w:i/>
          <w:iCs/>
          <w:color w:val="000000"/>
          <w:lang w:val="es-MX"/>
        </w:rPr>
        <w:t xml:space="preserve"> 20</w:t>
      </w:r>
      <w:r w:rsidRPr="00C11D51">
        <w:rPr>
          <w:rFonts w:eastAsia="Times New Roman"/>
          <w:color w:val="000000"/>
          <w:lang w:val="es-MX"/>
        </w:rPr>
        <w:t>(4), 862–871.</w:t>
      </w:r>
      <w:hyperlink r:id="rId9" w:history="1">
        <w:r w:rsidR="009647A9" w:rsidRPr="00C11D51">
          <w:rPr>
            <w:rStyle w:val="Hipervnculo"/>
            <w:lang w:val="es-MX"/>
          </w:rPr>
          <w:t xml:space="preserve"> </w:t>
        </w:r>
        <w:r w:rsidR="009647A9" w:rsidRPr="00C11D51">
          <w:rPr>
            <w:rStyle w:val="Hipervnculo"/>
            <w:rFonts w:eastAsia="Times New Roman"/>
            <w:lang w:val="es-MX"/>
          </w:rPr>
          <w:t>https://doi.org/10.1038/oby.2011.141</w:t>
        </w:r>
      </w:hyperlink>
      <w:r w:rsidRPr="00C11D51">
        <w:rPr>
          <w:rFonts w:eastAsia="Times New Roman"/>
          <w:color w:val="000000"/>
          <w:lang w:val="es-MX"/>
        </w:rPr>
        <w:t> </w:t>
      </w:r>
    </w:p>
    <w:p w14:paraId="09D30E96" w14:textId="0B17C564" w:rsidR="002D61B7" w:rsidRPr="00C11D51" w:rsidRDefault="002D61B7" w:rsidP="003D01C2">
      <w:pPr>
        <w:ind w:left="720" w:hanging="720"/>
        <w:rPr>
          <w:rFonts w:eastAsia="Times New Roman"/>
          <w:lang w:val="es-MX"/>
        </w:rPr>
      </w:pPr>
      <w:r w:rsidRPr="00C11D51">
        <w:rPr>
          <w:rFonts w:eastAsia="Times New Roman"/>
          <w:color w:val="000000"/>
          <w:lang w:val="es-MX"/>
        </w:rPr>
        <w:t xml:space="preserve">Le Pertel, N., Fisher, J., &amp; van Dam, N. (2020). Neurociencia de la reflexión encarnada: Prácticas somáticas/mente-cuerpo/contemplativas, salud y aprendizaje transformador. </w:t>
      </w:r>
      <w:r w:rsidRPr="00C11D51">
        <w:rPr>
          <w:rFonts w:eastAsia="Times New Roman"/>
          <w:i/>
          <w:iCs/>
          <w:color w:val="000000"/>
          <w:lang w:val="es-MX"/>
        </w:rPr>
        <w:t>Práctica Reflexiva</w:t>
      </w:r>
      <w:r w:rsidRPr="00C11D51">
        <w:rPr>
          <w:rFonts w:eastAsia="Times New Roman"/>
          <w:color w:val="000000"/>
          <w:lang w:val="es-MX"/>
        </w:rPr>
        <w:t>,</w:t>
      </w:r>
      <w:r w:rsidRPr="00C11D51">
        <w:rPr>
          <w:rFonts w:eastAsia="Times New Roman"/>
          <w:i/>
          <w:iCs/>
          <w:color w:val="000000"/>
          <w:lang w:val="es-MX"/>
        </w:rPr>
        <w:t xml:space="preserve"> 21</w:t>
      </w:r>
      <w:r w:rsidRPr="00C11D51">
        <w:rPr>
          <w:rFonts w:eastAsia="Times New Roman"/>
          <w:color w:val="000000"/>
          <w:lang w:val="es-MX"/>
        </w:rPr>
        <w:t>(6), 803–818.</w:t>
      </w:r>
      <w:hyperlink r:id="rId10" w:history="1">
        <w:r w:rsidR="00712EE0" w:rsidRPr="00C11D51">
          <w:rPr>
            <w:lang w:val="es-MX"/>
          </w:rPr>
          <w:t xml:space="preserve"> </w:t>
        </w:r>
        <w:r w:rsidR="00712EE0" w:rsidRPr="00C11D51">
          <w:rPr>
            <w:rFonts w:eastAsia="Times New Roman"/>
            <w:color w:val="1155CC"/>
            <w:u w:val="single"/>
            <w:lang w:val="es-MX"/>
          </w:rPr>
          <w:t>https://doi.org/10.1080/14623943.2020.1827492</w:t>
        </w:r>
      </w:hyperlink>
      <w:r w:rsidRPr="00C11D51">
        <w:rPr>
          <w:rFonts w:eastAsia="Times New Roman"/>
          <w:color w:val="000000"/>
          <w:lang w:val="es-MX"/>
        </w:rPr>
        <w:t> </w:t>
      </w:r>
    </w:p>
    <w:p w14:paraId="00E3386F" w14:textId="19F2FEF3" w:rsidR="002D61B7" w:rsidRPr="00C11D51" w:rsidRDefault="002D61B7" w:rsidP="003D01C2">
      <w:pPr>
        <w:ind w:left="720" w:hanging="720"/>
        <w:rPr>
          <w:rFonts w:eastAsia="Times New Roman"/>
          <w:lang w:val="es-MX"/>
        </w:rPr>
      </w:pPr>
      <w:r w:rsidRPr="00C11D51">
        <w:rPr>
          <w:rFonts w:eastAsia="Times New Roman"/>
          <w:color w:val="000000"/>
          <w:lang w:val="es-MX"/>
        </w:rPr>
        <w:t xml:space="preserve">Liese, A. D., Xiaonan, M., Hutto, B., Sharpe, P. A., Bell, B. A., &amp; Wilcox, S. (2017). Comportamientos de compra y adquisición de alimentos en relación con el IMC entre los residentes de comunidades de bajos ingresos en Carolina del Sur. </w:t>
      </w:r>
      <w:r w:rsidRPr="00C11D51">
        <w:rPr>
          <w:rFonts w:eastAsia="Times New Roman"/>
          <w:i/>
          <w:iCs/>
          <w:color w:val="000000"/>
          <w:lang w:val="es-MX"/>
        </w:rPr>
        <w:t>Revista Internacional de Investigación Ambiental y Salud Pública</w:t>
      </w:r>
      <w:r w:rsidRPr="00C11D51">
        <w:rPr>
          <w:rFonts w:eastAsia="Times New Roman"/>
          <w:color w:val="000000"/>
          <w:lang w:val="es-MX"/>
        </w:rPr>
        <w:t>,</w:t>
      </w:r>
      <w:r w:rsidRPr="00C11D51">
        <w:rPr>
          <w:rFonts w:eastAsia="Times New Roman"/>
          <w:i/>
          <w:iCs/>
          <w:color w:val="000000"/>
          <w:lang w:val="es-MX"/>
        </w:rPr>
        <w:t xml:space="preserve"> 14</w:t>
      </w:r>
      <w:r w:rsidRPr="00C11D51">
        <w:rPr>
          <w:rFonts w:eastAsia="Times New Roman"/>
          <w:color w:val="000000"/>
          <w:lang w:val="es-MX"/>
        </w:rPr>
        <w:t xml:space="preserve">(9), 1075–1090. </w:t>
      </w:r>
      <w:hyperlink r:id="rId11" w:history="1">
        <w:r w:rsidR="00712EE0" w:rsidRPr="00C11D51">
          <w:rPr>
            <w:rStyle w:val="Hipervnculo"/>
            <w:rFonts w:eastAsia="Times New Roman"/>
            <w:lang w:val="es-MX"/>
          </w:rPr>
          <w:t>https://doi.org/10.3390/ijerph14091075</w:t>
        </w:r>
      </w:hyperlink>
      <w:r w:rsidRPr="00C11D51">
        <w:rPr>
          <w:rFonts w:eastAsia="Times New Roman"/>
          <w:color w:val="000000"/>
          <w:lang w:val="es-MX"/>
        </w:rPr>
        <w:t> </w:t>
      </w:r>
    </w:p>
    <w:p w14:paraId="27F8A6AF" w14:textId="56F84314" w:rsidR="002D61B7" w:rsidRPr="00C11D51" w:rsidRDefault="002D61B7" w:rsidP="003D01C2">
      <w:pPr>
        <w:ind w:left="720" w:hanging="720"/>
        <w:rPr>
          <w:rFonts w:eastAsia="Times New Roman"/>
          <w:lang w:val="es-MX"/>
        </w:rPr>
      </w:pPr>
      <w:r w:rsidRPr="00C11D51">
        <w:rPr>
          <w:rFonts w:eastAsia="Times New Roman"/>
          <w:color w:val="000000"/>
          <w:lang w:val="es-MX"/>
        </w:rPr>
        <w:t xml:space="preserve">Mio, J. S., Barker, L. A., Domenech Rodríguez, M. M., &amp; González, J. (2020). </w:t>
      </w:r>
      <w:r w:rsidRPr="00C11D51">
        <w:rPr>
          <w:rFonts w:eastAsia="Times New Roman"/>
          <w:i/>
          <w:iCs/>
          <w:color w:val="000000"/>
          <w:lang w:val="es-MX"/>
        </w:rPr>
        <w:t xml:space="preserve">Psicología multicultural: Entendiendo nuestras diversas comunidades </w:t>
      </w:r>
      <w:r w:rsidRPr="00C11D51">
        <w:rPr>
          <w:rFonts w:eastAsia="Times New Roman"/>
          <w:color w:val="000000"/>
          <w:lang w:val="es-MX"/>
        </w:rPr>
        <w:t xml:space="preserve">(5ª ed.). Oxford University Press. </w:t>
      </w:r>
    </w:p>
    <w:p w14:paraId="102E726A" w14:textId="4FB3B213" w:rsidR="002635F3" w:rsidRPr="002635F3" w:rsidRDefault="002D61B7" w:rsidP="00235E18">
      <w:pPr>
        <w:ind w:left="720" w:hanging="720"/>
        <w:rPr>
          <w:rFonts w:eastAsia="Times New Roman"/>
        </w:rPr>
      </w:pPr>
      <w:r w:rsidRPr="00C11D51">
        <w:rPr>
          <w:rFonts w:eastAsia="Times New Roman"/>
          <w:color w:val="000000"/>
          <w:lang w:val="es-MX"/>
        </w:rPr>
        <w:lastRenderedPageBreak/>
        <w:t xml:space="preserve">Testa, A., Jackson, D. B., Semenza, D. C., &amp; Vaughn, M. G. (2020). </w:t>
      </w:r>
      <w:r w:rsidRPr="002635F3">
        <w:rPr>
          <w:rFonts w:eastAsia="Times New Roman"/>
          <w:color w:val="000000"/>
        </w:rPr>
        <w:t xml:space="preserve">Desiertos alimentarios y salud cardiovascular en adultos jóvenes. </w:t>
      </w:r>
      <w:r w:rsidRPr="002635F3">
        <w:rPr>
          <w:rFonts w:eastAsia="Times New Roman"/>
          <w:i/>
          <w:iCs/>
          <w:color w:val="000000"/>
        </w:rPr>
        <w:t>Salud Pública Nutrición</w:t>
      </w:r>
      <w:r w:rsidRPr="002635F3">
        <w:rPr>
          <w:rFonts w:eastAsia="Times New Roman"/>
          <w:color w:val="000000"/>
        </w:rPr>
        <w:t>,</w:t>
      </w:r>
      <w:r w:rsidRPr="002635F3">
        <w:rPr>
          <w:rFonts w:eastAsia="Times New Roman"/>
          <w:i/>
          <w:iCs/>
          <w:color w:val="000000"/>
        </w:rPr>
        <w:t xml:space="preserve"> 24</w:t>
      </w:r>
      <w:r w:rsidRPr="002635F3">
        <w:rPr>
          <w:rFonts w:eastAsia="Times New Roman"/>
          <w:color w:val="000000"/>
        </w:rPr>
        <w:t xml:space="preserve">(1), 117–124. </w:t>
      </w:r>
      <w:hyperlink r:id="rId12" w:history="1">
        <w:r w:rsidR="00712EE0" w:rsidRPr="002635F3">
          <w:rPr>
            <w:rStyle w:val="Hipervnculo"/>
            <w:rFonts w:eastAsia="Times New Roman"/>
          </w:rPr>
          <w:t>https://doi.org/10.1017/S1368980020001536</w:t>
        </w:r>
      </w:hyperlink>
    </w:p>
    <w:sectPr w:rsidR="002635F3" w:rsidRPr="002635F3">
      <w:head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EB1A6" w14:textId="77777777" w:rsidR="009B494F" w:rsidRDefault="009B494F" w:rsidP="003D01C2">
      <w:r>
        <w:separator/>
      </w:r>
    </w:p>
  </w:endnote>
  <w:endnote w:type="continuationSeparator" w:id="0">
    <w:p w14:paraId="147CDBB3" w14:textId="77777777" w:rsidR="009B494F" w:rsidRDefault="009B494F" w:rsidP="003D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32593" w14:textId="77777777" w:rsidR="009B494F" w:rsidRDefault="009B494F" w:rsidP="003D01C2">
      <w:r>
        <w:separator/>
      </w:r>
    </w:p>
  </w:footnote>
  <w:footnote w:type="continuationSeparator" w:id="0">
    <w:p w14:paraId="44E99C83" w14:textId="77777777" w:rsidR="009B494F" w:rsidRDefault="009B494F" w:rsidP="003D0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4656415"/>
      <w:docPartObj>
        <w:docPartGallery w:val="Page Numbers (Top of Page)"/>
        <w:docPartUnique/>
      </w:docPartObj>
    </w:sdtPr>
    <w:sdtEndPr>
      <w:rPr>
        <w:noProof/>
      </w:rPr>
    </w:sdtEndPr>
    <w:sdtContent>
      <w:p w14:paraId="25183176" w14:textId="0644E12C" w:rsidR="003D01C2" w:rsidRPr="002635F3" w:rsidRDefault="003D01C2" w:rsidP="002635F3">
        <w:pPr>
          <w:pStyle w:val="Encabezado"/>
          <w:jc w:val="right"/>
        </w:pPr>
        <w:r w:rsidRPr="002635F3">
          <w:fldChar w:fldCharType="begin"/>
        </w:r>
        <w:r w:rsidRPr="002635F3">
          <w:instrText xml:space="preserve"> PAGE   \* MERGEFORMAT </w:instrText>
        </w:r>
        <w:r w:rsidRPr="002635F3">
          <w:fldChar w:fldCharType="separate"/>
        </w:r>
        <w:r w:rsidRPr="002635F3">
          <w:rPr>
            <w:noProof/>
          </w:rPr>
          <w:t>2</w:t>
        </w:r>
        <w:r w:rsidRPr="002635F3">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9.8pt;height:49.8pt;visibility:visible;mso-wrap-style:square" o:bullet="t">
        <v:imagedata r:id="rId1" o:title=""/>
      </v:shape>
    </w:pict>
  </w:numPicBullet>
  <w:abstractNum w:abstractNumId="0" w15:restartNumberingAfterBreak="0">
    <w:nsid w:val="1A8D36E7"/>
    <w:multiLevelType w:val="hybridMultilevel"/>
    <w:tmpl w:val="F48435D8"/>
    <w:lvl w:ilvl="0" w:tplc="F3FCBF3E">
      <w:start w:val="1"/>
      <w:numFmt w:val="bullet"/>
      <w:lvlText w:val=""/>
      <w:lvlPicBulletId w:val="0"/>
      <w:lvlJc w:val="left"/>
      <w:pPr>
        <w:tabs>
          <w:tab w:val="num" w:pos="960"/>
        </w:tabs>
        <w:ind w:left="960" w:hanging="360"/>
      </w:pPr>
      <w:rPr>
        <w:rFonts w:ascii="Symbol" w:hAnsi="Symbol" w:hint="default"/>
      </w:rPr>
    </w:lvl>
    <w:lvl w:ilvl="1" w:tplc="2DACA5B8" w:tentative="1">
      <w:start w:val="1"/>
      <w:numFmt w:val="bullet"/>
      <w:lvlText w:val=""/>
      <w:lvlJc w:val="left"/>
      <w:pPr>
        <w:tabs>
          <w:tab w:val="num" w:pos="1680"/>
        </w:tabs>
        <w:ind w:left="1680" w:hanging="360"/>
      </w:pPr>
      <w:rPr>
        <w:rFonts w:ascii="Symbol" w:hAnsi="Symbol" w:hint="default"/>
      </w:rPr>
    </w:lvl>
    <w:lvl w:ilvl="2" w:tplc="F95A89CC" w:tentative="1">
      <w:start w:val="1"/>
      <w:numFmt w:val="bullet"/>
      <w:lvlText w:val=""/>
      <w:lvlJc w:val="left"/>
      <w:pPr>
        <w:tabs>
          <w:tab w:val="num" w:pos="2400"/>
        </w:tabs>
        <w:ind w:left="2400" w:hanging="360"/>
      </w:pPr>
      <w:rPr>
        <w:rFonts w:ascii="Symbol" w:hAnsi="Symbol" w:hint="default"/>
      </w:rPr>
    </w:lvl>
    <w:lvl w:ilvl="3" w:tplc="D868B020" w:tentative="1">
      <w:start w:val="1"/>
      <w:numFmt w:val="bullet"/>
      <w:lvlText w:val=""/>
      <w:lvlJc w:val="left"/>
      <w:pPr>
        <w:tabs>
          <w:tab w:val="num" w:pos="3120"/>
        </w:tabs>
        <w:ind w:left="3120" w:hanging="360"/>
      </w:pPr>
      <w:rPr>
        <w:rFonts w:ascii="Symbol" w:hAnsi="Symbol" w:hint="default"/>
      </w:rPr>
    </w:lvl>
    <w:lvl w:ilvl="4" w:tplc="3C5E367E" w:tentative="1">
      <w:start w:val="1"/>
      <w:numFmt w:val="bullet"/>
      <w:lvlText w:val=""/>
      <w:lvlJc w:val="left"/>
      <w:pPr>
        <w:tabs>
          <w:tab w:val="num" w:pos="3840"/>
        </w:tabs>
        <w:ind w:left="3840" w:hanging="360"/>
      </w:pPr>
      <w:rPr>
        <w:rFonts w:ascii="Symbol" w:hAnsi="Symbol" w:hint="default"/>
      </w:rPr>
    </w:lvl>
    <w:lvl w:ilvl="5" w:tplc="F1306D6A" w:tentative="1">
      <w:start w:val="1"/>
      <w:numFmt w:val="bullet"/>
      <w:lvlText w:val=""/>
      <w:lvlJc w:val="left"/>
      <w:pPr>
        <w:tabs>
          <w:tab w:val="num" w:pos="4560"/>
        </w:tabs>
        <w:ind w:left="4560" w:hanging="360"/>
      </w:pPr>
      <w:rPr>
        <w:rFonts w:ascii="Symbol" w:hAnsi="Symbol" w:hint="default"/>
      </w:rPr>
    </w:lvl>
    <w:lvl w:ilvl="6" w:tplc="F5AA3F58" w:tentative="1">
      <w:start w:val="1"/>
      <w:numFmt w:val="bullet"/>
      <w:lvlText w:val=""/>
      <w:lvlJc w:val="left"/>
      <w:pPr>
        <w:tabs>
          <w:tab w:val="num" w:pos="5280"/>
        </w:tabs>
        <w:ind w:left="5280" w:hanging="360"/>
      </w:pPr>
      <w:rPr>
        <w:rFonts w:ascii="Symbol" w:hAnsi="Symbol" w:hint="default"/>
      </w:rPr>
    </w:lvl>
    <w:lvl w:ilvl="7" w:tplc="838E4BF0" w:tentative="1">
      <w:start w:val="1"/>
      <w:numFmt w:val="bullet"/>
      <w:lvlText w:val=""/>
      <w:lvlJc w:val="left"/>
      <w:pPr>
        <w:tabs>
          <w:tab w:val="num" w:pos="6000"/>
        </w:tabs>
        <w:ind w:left="6000" w:hanging="360"/>
      </w:pPr>
      <w:rPr>
        <w:rFonts w:ascii="Symbol" w:hAnsi="Symbol" w:hint="default"/>
      </w:rPr>
    </w:lvl>
    <w:lvl w:ilvl="8" w:tplc="97F05650" w:tentative="1">
      <w:start w:val="1"/>
      <w:numFmt w:val="bullet"/>
      <w:lvlText w:val=""/>
      <w:lvlJc w:val="left"/>
      <w:pPr>
        <w:tabs>
          <w:tab w:val="num" w:pos="6720"/>
        </w:tabs>
        <w:ind w:left="6720" w:hanging="360"/>
      </w:pPr>
      <w:rPr>
        <w:rFonts w:ascii="Symbol" w:hAnsi="Symbol" w:hint="default"/>
      </w:rPr>
    </w:lvl>
  </w:abstractNum>
  <w:num w:numId="1" w16cid:durableId="2072805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attachedTemplate r:id="rId1"/>
  <w:linkStyle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1B7"/>
    <w:rsid w:val="0005475C"/>
    <w:rsid w:val="000663C6"/>
    <w:rsid w:val="000C4FF4"/>
    <w:rsid w:val="000D0D0F"/>
    <w:rsid w:val="000D4F7D"/>
    <w:rsid w:val="0018183E"/>
    <w:rsid w:val="00193F8C"/>
    <w:rsid w:val="001B1456"/>
    <w:rsid w:val="001B3054"/>
    <w:rsid w:val="001D68BB"/>
    <w:rsid w:val="00235E18"/>
    <w:rsid w:val="002516FA"/>
    <w:rsid w:val="00254E41"/>
    <w:rsid w:val="00257B10"/>
    <w:rsid w:val="002635F3"/>
    <w:rsid w:val="002674EE"/>
    <w:rsid w:val="002700DE"/>
    <w:rsid w:val="002719A2"/>
    <w:rsid w:val="002D5826"/>
    <w:rsid w:val="002D61B7"/>
    <w:rsid w:val="002E124A"/>
    <w:rsid w:val="002E57C7"/>
    <w:rsid w:val="0030468A"/>
    <w:rsid w:val="00320CB9"/>
    <w:rsid w:val="003564EE"/>
    <w:rsid w:val="00371612"/>
    <w:rsid w:val="003D01C2"/>
    <w:rsid w:val="003E6380"/>
    <w:rsid w:val="00433A72"/>
    <w:rsid w:val="0047440F"/>
    <w:rsid w:val="004D4BD2"/>
    <w:rsid w:val="0052795B"/>
    <w:rsid w:val="00560FE4"/>
    <w:rsid w:val="00561E4B"/>
    <w:rsid w:val="0057342A"/>
    <w:rsid w:val="00587717"/>
    <w:rsid w:val="005C4940"/>
    <w:rsid w:val="00626B0C"/>
    <w:rsid w:val="006577C9"/>
    <w:rsid w:val="00712EE0"/>
    <w:rsid w:val="007A5E35"/>
    <w:rsid w:val="00830118"/>
    <w:rsid w:val="00865710"/>
    <w:rsid w:val="008A61BD"/>
    <w:rsid w:val="00907332"/>
    <w:rsid w:val="00917063"/>
    <w:rsid w:val="009647A9"/>
    <w:rsid w:val="00980DDA"/>
    <w:rsid w:val="00985B86"/>
    <w:rsid w:val="009B494F"/>
    <w:rsid w:val="00A12DA6"/>
    <w:rsid w:val="00A23272"/>
    <w:rsid w:val="00A64045"/>
    <w:rsid w:val="00A905F9"/>
    <w:rsid w:val="00AB14F2"/>
    <w:rsid w:val="00AB603B"/>
    <w:rsid w:val="00B11CDF"/>
    <w:rsid w:val="00B23129"/>
    <w:rsid w:val="00B31725"/>
    <w:rsid w:val="00B52CB7"/>
    <w:rsid w:val="00B61B31"/>
    <w:rsid w:val="00B84599"/>
    <w:rsid w:val="00BF0ED4"/>
    <w:rsid w:val="00C11D51"/>
    <w:rsid w:val="00C12787"/>
    <w:rsid w:val="00C24FDE"/>
    <w:rsid w:val="00C34D74"/>
    <w:rsid w:val="00C36CCC"/>
    <w:rsid w:val="00C452E7"/>
    <w:rsid w:val="00C650A0"/>
    <w:rsid w:val="00CF708B"/>
    <w:rsid w:val="00D41A5C"/>
    <w:rsid w:val="00D62DD2"/>
    <w:rsid w:val="00D8710C"/>
    <w:rsid w:val="00DA6A5F"/>
    <w:rsid w:val="00DB5E13"/>
    <w:rsid w:val="00DB6CEF"/>
    <w:rsid w:val="00EC4CC8"/>
    <w:rsid w:val="00ED7A2A"/>
    <w:rsid w:val="00F0633E"/>
    <w:rsid w:val="00F9530D"/>
    <w:rsid w:val="00FD3018"/>
    <w:rsid w:val="00FF76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655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5F3"/>
    <w:pPr>
      <w:spacing w:line="480" w:lineRule="auto"/>
    </w:pPr>
    <w:rPr>
      <w:rFonts w:ascii="Aptos" w:hAnsi="Aptos" w:cs="Arial"/>
      <w:sz w:val="22"/>
      <w:szCs w:val="22"/>
    </w:rPr>
  </w:style>
  <w:style w:type="paragraph" w:styleId="Ttulo1">
    <w:name w:val="heading 1"/>
    <w:basedOn w:val="Normal"/>
    <w:next w:val="Normal"/>
    <w:link w:val="Ttulo1Car"/>
    <w:uiPriority w:val="9"/>
    <w:qFormat/>
    <w:rsid w:val="002635F3"/>
    <w:pPr>
      <w:jc w:val="center"/>
      <w:outlineLvl w:val="0"/>
    </w:pPr>
    <w:rPr>
      <w:b/>
    </w:rPr>
  </w:style>
  <w:style w:type="paragraph" w:styleId="Ttulo2">
    <w:name w:val="heading 2"/>
    <w:basedOn w:val="Normal"/>
    <w:next w:val="Normal"/>
    <w:link w:val="Ttulo2Car"/>
    <w:uiPriority w:val="9"/>
    <w:unhideWhenUsed/>
    <w:qFormat/>
    <w:rsid w:val="002635F3"/>
    <w:pPr>
      <w:keepNext/>
      <w:keepLines/>
      <w:outlineLvl w:val="1"/>
    </w:pPr>
    <w:rPr>
      <w:rFonts w:eastAsiaTheme="majorEastAsia"/>
      <w:b/>
      <w:bCs/>
    </w:rPr>
  </w:style>
  <w:style w:type="paragraph" w:styleId="Ttulo3">
    <w:name w:val="heading 3"/>
    <w:basedOn w:val="Normal"/>
    <w:next w:val="Normal"/>
    <w:link w:val="Ttulo3Car"/>
    <w:uiPriority w:val="9"/>
    <w:unhideWhenUsed/>
    <w:qFormat/>
    <w:rsid w:val="002635F3"/>
    <w:pPr>
      <w:keepNext/>
      <w:keepLines/>
      <w:outlineLvl w:val="2"/>
    </w:pPr>
    <w:rPr>
      <w:rFonts w:eastAsiaTheme="majorEastAsia" w:cstheme="majorBidi"/>
      <w:b/>
      <w:i/>
      <w:szCs w:val="24"/>
    </w:rPr>
  </w:style>
  <w:style w:type="paragraph" w:styleId="Ttulo4">
    <w:name w:val="heading 4"/>
    <w:basedOn w:val="Normal"/>
    <w:next w:val="Normal"/>
    <w:link w:val="Ttulo4Car"/>
    <w:uiPriority w:val="9"/>
    <w:unhideWhenUsed/>
    <w:qFormat/>
    <w:rsid w:val="002635F3"/>
    <w:pPr>
      <w:keepNext/>
      <w:keepLines/>
      <w:widowControl w:val="0"/>
      <w:ind w:firstLine="720"/>
      <w:outlineLvl w:val="3"/>
    </w:pPr>
    <w:rPr>
      <w:rFonts w:eastAsiaTheme="majorEastAsia" w:cstheme="majorBidi"/>
      <w:b/>
      <w:iCs/>
      <w:szCs w:val="24"/>
      <w:lang w:bidi="en-US"/>
    </w:rPr>
  </w:style>
  <w:style w:type="paragraph" w:styleId="Ttulo5">
    <w:name w:val="heading 5"/>
    <w:basedOn w:val="Normal"/>
    <w:next w:val="Normal"/>
    <w:link w:val="Ttulo5Car"/>
    <w:uiPriority w:val="9"/>
    <w:unhideWhenUsed/>
    <w:qFormat/>
    <w:rsid w:val="002635F3"/>
    <w:pPr>
      <w:keepNext/>
      <w:keepLines/>
      <w:ind w:firstLine="720"/>
      <w:outlineLvl w:val="4"/>
    </w:pPr>
    <w:rPr>
      <w:rFonts w:eastAsiaTheme="majorEastAsia" w:cstheme="majorBidi"/>
      <w:b/>
      <w:i/>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D61B7"/>
    <w:pPr>
      <w:spacing w:before="100" w:beforeAutospacing="1" w:after="100" w:afterAutospacing="1"/>
    </w:pPr>
    <w:rPr>
      <w:rFonts w:ascii="Times New Roman" w:eastAsia="Times New Roman" w:hAnsi="Times New Roman" w:cs="Times New Roman"/>
    </w:rPr>
  </w:style>
  <w:style w:type="character" w:customStyle="1" w:styleId="apple-tab-span">
    <w:name w:val="apple-tab-span"/>
    <w:basedOn w:val="Fuentedeprrafopredeter"/>
    <w:rsid w:val="002D61B7"/>
  </w:style>
  <w:style w:type="character" w:styleId="Hipervnculo">
    <w:name w:val="Hyperlink"/>
    <w:basedOn w:val="Fuentedeprrafopredeter"/>
    <w:uiPriority w:val="99"/>
    <w:unhideWhenUsed/>
    <w:rsid w:val="002635F3"/>
    <w:rPr>
      <w:color w:val="0563C1" w:themeColor="hyperlink"/>
      <w:u w:val="single"/>
    </w:rPr>
  </w:style>
  <w:style w:type="paragraph" w:styleId="Encabezado">
    <w:name w:val="header"/>
    <w:basedOn w:val="Normal"/>
    <w:link w:val="EncabezadoCar"/>
    <w:uiPriority w:val="99"/>
    <w:unhideWhenUsed/>
    <w:rsid w:val="002635F3"/>
    <w:pPr>
      <w:tabs>
        <w:tab w:val="center" w:pos="4680"/>
        <w:tab w:val="right" w:pos="9360"/>
      </w:tabs>
      <w:spacing w:line="240" w:lineRule="auto"/>
    </w:pPr>
  </w:style>
  <w:style w:type="character" w:customStyle="1" w:styleId="EncabezadoCar">
    <w:name w:val="Encabezado Car"/>
    <w:basedOn w:val="Fuentedeprrafopredeter"/>
    <w:link w:val="Encabezado"/>
    <w:uiPriority w:val="99"/>
    <w:rsid w:val="002635F3"/>
    <w:rPr>
      <w:rFonts w:ascii="Aptos" w:hAnsi="Aptos" w:cs="Arial"/>
      <w:sz w:val="22"/>
      <w:szCs w:val="22"/>
    </w:rPr>
  </w:style>
  <w:style w:type="paragraph" w:styleId="Piedepgina">
    <w:name w:val="footer"/>
    <w:basedOn w:val="Normal"/>
    <w:link w:val="PiedepginaCar"/>
    <w:uiPriority w:val="99"/>
    <w:unhideWhenUsed/>
    <w:rsid w:val="002635F3"/>
    <w:pPr>
      <w:tabs>
        <w:tab w:val="center" w:pos="4680"/>
        <w:tab w:val="right" w:pos="9360"/>
      </w:tabs>
      <w:spacing w:line="240" w:lineRule="auto"/>
    </w:pPr>
  </w:style>
  <w:style w:type="character" w:customStyle="1" w:styleId="PiedepginaCar">
    <w:name w:val="Pie de página Car"/>
    <w:basedOn w:val="Fuentedeprrafopredeter"/>
    <w:link w:val="Piedepgina"/>
    <w:uiPriority w:val="99"/>
    <w:rsid w:val="002635F3"/>
    <w:rPr>
      <w:rFonts w:ascii="Aptos" w:hAnsi="Aptos" w:cs="Arial"/>
      <w:sz w:val="22"/>
      <w:szCs w:val="22"/>
    </w:rPr>
  </w:style>
  <w:style w:type="character" w:styleId="Mencinsinresolver">
    <w:name w:val="Unresolved Mention"/>
    <w:basedOn w:val="Fuentedeprrafopredeter"/>
    <w:uiPriority w:val="99"/>
    <w:semiHidden/>
    <w:unhideWhenUsed/>
    <w:rsid w:val="002635F3"/>
    <w:rPr>
      <w:color w:val="605E5C"/>
      <w:shd w:val="clear" w:color="auto" w:fill="E1DFDD"/>
    </w:rPr>
  </w:style>
  <w:style w:type="paragraph" w:styleId="Textodeglobo">
    <w:name w:val="Balloon Text"/>
    <w:basedOn w:val="Normal"/>
    <w:link w:val="TextodegloboCar"/>
    <w:uiPriority w:val="99"/>
    <w:semiHidden/>
    <w:unhideWhenUsed/>
    <w:rsid w:val="002635F3"/>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635F3"/>
    <w:rPr>
      <w:rFonts w:ascii="Segoe UI" w:hAnsi="Segoe UI" w:cs="Segoe UI"/>
      <w:sz w:val="18"/>
      <w:szCs w:val="18"/>
    </w:rPr>
  </w:style>
  <w:style w:type="character" w:styleId="Refdecomentario">
    <w:name w:val="annotation reference"/>
    <w:basedOn w:val="Fuentedeprrafopredeter"/>
    <w:uiPriority w:val="99"/>
    <w:semiHidden/>
    <w:unhideWhenUsed/>
    <w:rsid w:val="002635F3"/>
    <w:rPr>
      <w:sz w:val="16"/>
      <w:szCs w:val="16"/>
    </w:rPr>
  </w:style>
  <w:style w:type="paragraph" w:styleId="Textocomentario">
    <w:name w:val="annotation text"/>
    <w:basedOn w:val="Normal"/>
    <w:link w:val="TextocomentarioCar"/>
    <w:uiPriority w:val="99"/>
    <w:semiHidden/>
    <w:unhideWhenUsed/>
    <w:rsid w:val="002635F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2635F3"/>
    <w:rPr>
      <w:rFonts w:ascii="Aptos" w:hAnsi="Aptos" w:cs="Arial"/>
      <w:sz w:val="20"/>
      <w:szCs w:val="20"/>
    </w:rPr>
  </w:style>
  <w:style w:type="paragraph" w:styleId="Asuntodelcomentario">
    <w:name w:val="annotation subject"/>
    <w:basedOn w:val="Textocomentario"/>
    <w:next w:val="Textocomentario"/>
    <w:link w:val="AsuntodelcomentarioCar"/>
    <w:uiPriority w:val="99"/>
    <w:semiHidden/>
    <w:unhideWhenUsed/>
    <w:rsid w:val="002635F3"/>
    <w:rPr>
      <w:b/>
      <w:bCs/>
    </w:rPr>
  </w:style>
  <w:style w:type="character" w:customStyle="1" w:styleId="AsuntodelcomentarioCar">
    <w:name w:val="Asunto del comentario Car"/>
    <w:basedOn w:val="TextocomentarioCar"/>
    <w:link w:val="Asuntodelcomentario"/>
    <w:uiPriority w:val="99"/>
    <w:semiHidden/>
    <w:rsid w:val="002635F3"/>
    <w:rPr>
      <w:rFonts w:ascii="Aptos" w:hAnsi="Aptos" w:cs="Arial"/>
      <w:b/>
      <w:bCs/>
      <w:sz w:val="20"/>
      <w:szCs w:val="20"/>
    </w:rPr>
  </w:style>
  <w:style w:type="character" w:customStyle="1" w:styleId="Ttulo1Car">
    <w:name w:val="Título 1 Car"/>
    <w:basedOn w:val="Fuentedeprrafopredeter"/>
    <w:link w:val="Ttulo1"/>
    <w:uiPriority w:val="9"/>
    <w:rsid w:val="002635F3"/>
    <w:rPr>
      <w:rFonts w:ascii="Aptos" w:hAnsi="Aptos" w:cs="Arial"/>
      <w:b/>
      <w:sz w:val="22"/>
      <w:szCs w:val="22"/>
    </w:rPr>
  </w:style>
  <w:style w:type="character" w:styleId="Hipervnculovisitado">
    <w:name w:val="FollowedHyperlink"/>
    <w:basedOn w:val="Fuentedeprrafopredeter"/>
    <w:uiPriority w:val="99"/>
    <w:semiHidden/>
    <w:unhideWhenUsed/>
    <w:rsid w:val="002635F3"/>
    <w:rPr>
      <w:color w:val="954F72" w:themeColor="followedHyperlink"/>
      <w:u w:val="single"/>
    </w:rPr>
  </w:style>
  <w:style w:type="paragraph" w:styleId="Revisin">
    <w:name w:val="Revision"/>
    <w:hidden/>
    <w:uiPriority w:val="99"/>
    <w:semiHidden/>
    <w:rsid w:val="00AB603B"/>
  </w:style>
  <w:style w:type="character" w:customStyle="1" w:styleId="Ttulo2Car">
    <w:name w:val="Título 2 Car"/>
    <w:basedOn w:val="Fuentedeprrafopredeter"/>
    <w:link w:val="Ttulo2"/>
    <w:uiPriority w:val="9"/>
    <w:rsid w:val="002635F3"/>
    <w:rPr>
      <w:rFonts w:ascii="Aptos" w:eastAsiaTheme="majorEastAsia" w:hAnsi="Aptos" w:cs="Arial"/>
      <w:b/>
      <w:bCs/>
      <w:sz w:val="22"/>
      <w:szCs w:val="22"/>
    </w:rPr>
  </w:style>
  <w:style w:type="character" w:customStyle="1" w:styleId="Ttulo3Car">
    <w:name w:val="Título 3 Car"/>
    <w:basedOn w:val="Fuentedeprrafopredeter"/>
    <w:link w:val="Ttulo3"/>
    <w:uiPriority w:val="9"/>
    <w:rsid w:val="002635F3"/>
    <w:rPr>
      <w:rFonts w:ascii="Aptos" w:eastAsiaTheme="majorEastAsia" w:hAnsi="Aptos" w:cstheme="majorBidi"/>
      <w:b/>
      <w:i/>
      <w:sz w:val="22"/>
    </w:rPr>
  </w:style>
  <w:style w:type="character" w:customStyle="1" w:styleId="Ttulo4Car">
    <w:name w:val="Título 4 Car"/>
    <w:basedOn w:val="Fuentedeprrafopredeter"/>
    <w:link w:val="Ttulo4"/>
    <w:uiPriority w:val="9"/>
    <w:rsid w:val="002635F3"/>
    <w:rPr>
      <w:rFonts w:ascii="Aptos" w:eastAsiaTheme="majorEastAsia" w:hAnsi="Aptos" w:cstheme="majorBidi"/>
      <w:b/>
      <w:iCs/>
      <w:sz w:val="22"/>
      <w:lang w:bidi="en-US"/>
    </w:rPr>
  </w:style>
  <w:style w:type="character" w:customStyle="1" w:styleId="Ttulo5Car">
    <w:name w:val="Título 5 Car"/>
    <w:basedOn w:val="Fuentedeprrafopredeter"/>
    <w:link w:val="Ttulo5"/>
    <w:uiPriority w:val="9"/>
    <w:rsid w:val="002635F3"/>
    <w:rPr>
      <w:rFonts w:ascii="Aptos" w:eastAsiaTheme="majorEastAsia" w:hAnsi="Aptos" w:cstheme="majorBidi"/>
      <w:b/>
      <w:i/>
      <w:sz w:val="22"/>
      <w:szCs w:val="22"/>
    </w:rPr>
  </w:style>
  <w:style w:type="paragraph" w:styleId="Ttulo">
    <w:name w:val="Title"/>
    <w:basedOn w:val="Normal"/>
    <w:link w:val="TtuloCar"/>
    <w:uiPriority w:val="10"/>
    <w:qFormat/>
    <w:rsid w:val="002635F3"/>
    <w:pPr>
      <w:widowControl w:val="0"/>
      <w:autoSpaceDE w:val="0"/>
      <w:autoSpaceDN w:val="0"/>
      <w:spacing w:before="1" w:line="240" w:lineRule="auto"/>
      <w:ind w:left="940" w:right="937"/>
      <w:jc w:val="center"/>
    </w:pPr>
    <w:rPr>
      <w:rFonts w:ascii="Times New Roman" w:eastAsia="Times New Roman" w:hAnsi="Times New Roman" w:cs="Times New Roman"/>
      <w:sz w:val="32"/>
      <w:szCs w:val="32"/>
    </w:rPr>
  </w:style>
  <w:style w:type="character" w:customStyle="1" w:styleId="TtuloCar">
    <w:name w:val="Título Car"/>
    <w:basedOn w:val="Fuentedeprrafopredeter"/>
    <w:link w:val="Ttulo"/>
    <w:uiPriority w:val="10"/>
    <w:rsid w:val="002635F3"/>
    <w:rPr>
      <w:rFonts w:ascii="Times New Roman" w:eastAsia="Times New Roman" w:hAnsi="Times New Roman" w:cs="Times New Roman"/>
      <w:sz w:val="32"/>
      <w:szCs w:val="32"/>
    </w:rPr>
  </w:style>
  <w:style w:type="paragraph" w:styleId="Textoindependiente">
    <w:name w:val="Body Text"/>
    <w:basedOn w:val="Normal"/>
    <w:link w:val="TextoindependienteCar"/>
    <w:uiPriority w:val="1"/>
    <w:qFormat/>
    <w:rsid w:val="002635F3"/>
    <w:pPr>
      <w:ind w:firstLine="720"/>
    </w:pPr>
  </w:style>
  <w:style w:type="character" w:customStyle="1" w:styleId="TextoindependienteCar">
    <w:name w:val="Texto independiente Car"/>
    <w:basedOn w:val="Fuentedeprrafopredeter"/>
    <w:link w:val="Textoindependiente"/>
    <w:uiPriority w:val="1"/>
    <w:rsid w:val="002635F3"/>
    <w:rPr>
      <w:rFonts w:ascii="Aptos" w:hAnsi="Aptos" w:cs="Arial"/>
      <w:sz w:val="22"/>
      <w:szCs w:val="22"/>
    </w:rPr>
  </w:style>
  <w:style w:type="paragraph" w:styleId="Textonotapie">
    <w:name w:val="footnote text"/>
    <w:basedOn w:val="Normal"/>
    <w:link w:val="TextonotapieCar"/>
    <w:uiPriority w:val="99"/>
    <w:unhideWhenUsed/>
    <w:rsid w:val="002635F3"/>
    <w:pPr>
      <w:spacing w:line="240" w:lineRule="auto"/>
    </w:pPr>
    <w:rPr>
      <w:sz w:val="20"/>
      <w:szCs w:val="20"/>
    </w:rPr>
  </w:style>
  <w:style w:type="character" w:customStyle="1" w:styleId="TextonotapieCar">
    <w:name w:val="Texto nota pie Car"/>
    <w:basedOn w:val="Fuentedeprrafopredeter"/>
    <w:link w:val="Textonotapie"/>
    <w:uiPriority w:val="99"/>
    <w:rsid w:val="002635F3"/>
    <w:rPr>
      <w:rFonts w:ascii="Aptos" w:hAnsi="Aptos" w:cs="Arial"/>
      <w:sz w:val="20"/>
      <w:szCs w:val="20"/>
    </w:rPr>
  </w:style>
  <w:style w:type="character" w:styleId="Refdenotaalpie">
    <w:name w:val="footnote reference"/>
    <w:basedOn w:val="Fuentedeprrafopredeter"/>
    <w:uiPriority w:val="99"/>
    <w:semiHidden/>
    <w:unhideWhenUsed/>
    <w:rsid w:val="002635F3"/>
    <w:rPr>
      <w:vertAlign w:val="superscript"/>
    </w:rPr>
  </w:style>
  <w:style w:type="character" w:styleId="nfasis">
    <w:name w:val="Emphasis"/>
    <w:basedOn w:val="Fuentedeprrafopredeter"/>
    <w:uiPriority w:val="20"/>
    <w:qFormat/>
    <w:rsid w:val="002635F3"/>
    <w:rPr>
      <w:rFonts w:ascii="Aptos" w:hAnsi="Aptos"/>
      <w:i/>
      <w:iCs/>
      <w:sz w:val="22"/>
    </w:rPr>
  </w:style>
  <w:style w:type="character" w:styleId="Textoennegrita">
    <w:name w:val="Strong"/>
    <w:basedOn w:val="Fuentedeprrafopredeter"/>
    <w:uiPriority w:val="22"/>
    <w:qFormat/>
    <w:rsid w:val="002635F3"/>
    <w:rPr>
      <w:rFonts w:ascii="Aptos" w:hAnsi="Aptos"/>
      <w:b/>
      <w:bCs/>
      <w:sz w:val="22"/>
    </w:rPr>
  </w:style>
  <w:style w:type="paragraph" w:styleId="Cita">
    <w:name w:val="Quote"/>
    <w:basedOn w:val="Textoindependiente"/>
    <w:next w:val="Normal"/>
    <w:link w:val="CitaCar"/>
    <w:uiPriority w:val="29"/>
    <w:qFormat/>
    <w:rsid w:val="002635F3"/>
    <w:pPr>
      <w:ind w:left="720" w:firstLine="0"/>
    </w:pPr>
  </w:style>
  <w:style w:type="character" w:customStyle="1" w:styleId="CitaCar">
    <w:name w:val="Cita Car"/>
    <w:basedOn w:val="Fuentedeprrafopredeter"/>
    <w:link w:val="Cita"/>
    <w:uiPriority w:val="29"/>
    <w:rsid w:val="002635F3"/>
    <w:rPr>
      <w:rFonts w:ascii="Aptos" w:hAnsi="Aptos" w:cs="Arial"/>
      <w:sz w:val="22"/>
      <w:szCs w:val="22"/>
    </w:rPr>
  </w:style>
  <w:style w:type="character" w:styleId="Textodelmarcadordeposicin">
    <w:name w:val="Placeholder Text"/>
    <w:basedOn w:val="Fuentedeprrafopredeter"/>
    <w:uiPriority w:val="99"/>
    <w:semiHidden/>
    <w:rsid w:val="00C11D5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93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rs.usda.gov/webdocs/publications/99282/err-275.pdf?v=744.4"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oi.org/10.1377/hlthaff.2019.01309" TargetMode="External"/><Relationship Id="rId12" Type="http://schemas.openxmlformats.org/officeDocument/2006/relationships/hyperlink" Target="https://doi.org/10.1017/S13689800200015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390/ijerph1409107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doi.org/10.1080/14623943.2020.1827492" TargetMode="External"/><Relationship Id="rId4" Type="http://schemas.openxmlformats.org/officeDocument/2006/relationships/webSettings" Target="webSettings.xml"/><Relationship Id="rId9" Type="http://schemas.openxmlformats.org/officeDocument/2006/relationships/hyperlink" Target="%20https://doi.org/10.1038/oby.2011.141"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b\OneDrive%20-%20American%20Psychological%20Assn\Documents\Custom%20Office%20Templates\APA%20Style%207%20paper%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APA Style 7 paper template</Template>
  <TotalTime>0</TotalTime>
  <Pages>7</Pages>
  <Words>1638</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2021-11-12T00:44:00Z</dcterms:created>
  <dcterms:modified xsi:type="dcterms:W3CDTF">2025-03-13T21:48:00Z</dcterms:modified>
</cp:coreProperties>
</file>